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中山大学南方学院创新强校、教学科研专项资金管理办法</w:t>
      </w:r>
    </w:p>
    <w:p>
      <w:pPr>
        <w:pStyle w:val="2"/>
        <w:spacing w:before="240" w:after="240" w:line="360" w:lineRule="auto"/>
        <w:jc w:val="center"/>
        <w:rPr>
          <w:rFonts w:hint="eastAsia" w:ascii="Times New Roman" w:hAnsi="Times New Roman" w:eastAsia="仿宋_GB2312" w:cs="仿宋_GB2312"/>
          <w:b w:val="0"/>
          <w:color w:val="000000" w:themeColor="text1"/>
          <w:sz w:val="32"/>
          <w:szCs w:val="32"/>
        </w:rPr>
      </w:pPr>
      <w:bookmarkStart w:id="0" w:name="_Toc15611"/>
      <w:bookmarkStart w:id="1" w:name="_Toc13488"/>
      <w:r>
        <w:rPr>
          <w:rFonts w:hint="eastAsia" w:ascii="Times New Roman" w:hAnsi="Times New Roman" w:eastAsia="黑体" w:cs="黑体"/>
          <w:b w:val="0"/>
          <w:color w:val="000000" w:themeColor="text1"/>
          <w:sz w:val="32"/>
          <w:szCs w:val="32"/>
        </w:rPr>
        <w:t>第一章  总则</w:t>
      </w:r>
      <w:bookmarkEnd w:id="0"/>
      <w:bookmarkEnd w:id="1"/>
    </w:p>
    <w:p>
      <w:pPr>
        <w:snapToGrid w:val="0"/>
        <w:spacing w:line="360" w:lineRule="auto"/>
        <w:contextualSpacing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32"/>
        </w:rPr>
        <w:t>第一条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 为加强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创新强校、教学科研专项资金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管理，推动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学校专项资金项</w:t>
      </w:r>
      <w:bookmarkStart w:id="14" w:name="_GoBack"/>
      <w:bookmarkEnd w:id="14"/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目研究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工作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有序高效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开展，不断提高广大教职工的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参与资金项目研究的积极性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，促进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我校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人才培养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质量和科学研究水平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提升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根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据国家有关财经法规和中共中央办公厅、国务院办公厅《关于进一步完善中央财政科研项目资金管理等政策的若干意见》（中办发〔2016〕50号），财政部、全国哲学社会科学规划办公室关于《国家社会科学基金项目资金管理办法》（财教〔2016〕304号）及财政部、教育部关于《高等学校哲学社会科学繁荣计划专项资金管理办法》（财教〔2016〕317）等文件精神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结合我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实际，特制定本办法。</w:t>
      </w:r>
    </w:p>
    <w:p>
      <w:pPr>
        <w:spacing w:line="360" w:lineRule="auto"/>
        <w:ind w:firstLine="623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 xml:space="preserve">第二条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本办法的项目指创新强校项目、教学质量与教学改革工程项目及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科研项目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等。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按项目的来源和性质分为纵向项目、横向项目和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内项目。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共建课题经费纳入本办法管理范围，学校按一定比例对共建课题配套经费进行支持。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23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纵向项目是指国家、省、市各级政府有关部门按一定程序下达的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创新强校项目、教学质量与教学改革工程项目及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科研项目，资金由政府部门提供。</w:t>
      </w:r>
    </w:p>
    <w:p>
      <w:pPr>
        <w:spacing w:line="360" w:lineRule="auto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   横向项目是指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接收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政府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机关、企事业单位委托，承接的各类科学研究、技术开发、技术咨询、技术服务等项目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由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政府机关、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企事业单位拨给专项经费或合同经费等。</w:t>
      </w:r>
    </w:p>
    <w:p>
      <w:pPr>
        <w:spacing w:line="360" w:lineRule="auto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校级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项目是指由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学校统筹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资助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（下拨到各教学单位的教学研究经费除外）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创新强校项目、教学质量与教学改革工程项目及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科研项目。</w:t>
      </w:r>
    </w:p>
    <w:p>
      <w:pPr>
        <w:spacing w:line="360" w:lineRule="auto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>第三条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在职教师和其他人员承担的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各级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各类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创新强校工程、教学科研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项目均适用本办法。国家、地方各级各类项目，其主管部门对项目管理另有规定的，依照其规定执行；未尽之处，按本办法执行。</w:t>
      </w:r>
    </w:p>
    <w:p>
      <w:pPr>
        <w:tabs>
          <w:tab w:val="left" w:pos="1800"/>
        </w:tabs>
        <w:spacing w:line="360" w:lineRule="auto"/>
        <w:jc w:val="left"/>
        <w:textAlignment w:val="center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 xml:space="preserve"> 第四条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学校学术委员会是学校创新强校工程、教学科研项目遴选的学术机构，负责纵向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推荐、校级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审定；学校财经委员会作为学校预算管理机构，负责核定创新强校工程、教学科研项目校级资助经费；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教务与科研部是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学校创新强校工程、教学科研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的业务管理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部门，负责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各级各类项目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的组织申报、立项确认、合同签订、项目实施、中期检查、项目结题、成果验收等项目管理工作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财务部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学校创新强校工程、教学科研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的经费管理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部门，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负责学校各级各类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的经费管理工作。项目负责人是创新强校工程、教学科研项目的直接责任人，负责项目执行和资金使用。</w:t>
      </w:r>
      <w:bookmarkStart w:id="2" w:name="_Toc18392"/>
      <w:bookmarkStart w:id="3" w:name="_Toc1164"/>
    </w:p>
    <w:p>
      <w:pPr>
        <w:pStyle w:val="2"/>
        <w:spacing w:before="240" w:after="240" w:line="360" w:lineRule="auto"/>
        <w:jc w:val="center"/>
        <w:rPr>
          <w:rFonts w:hint="eastAsia" w:ascii="Times New Roman" w:hAnsi="Times New Roman" w:eastAsia="黑体" w:cs="黑体"/>
          <w:b w:val="0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color w:val="000000" w:themeColor="text1"/>
          <w:sz w:val="32"/>
          <w:szCs w:val="32"/>
        </w:rPr>
        <w:t>第二章</w:t>
      </w:r>
      <w:bookmarkEnd w:id="2"/>
      <w:bookmarkEnd w:id="3"/>
      <w:r>
        <w:rPr>
          <w:rFonts w:hint="eastAsia" w:ascii="Times New Roman" w:hAnsi="Times New Roman" w:eastAsia="黑体" w:cs="黑体"/>
          <w:b w:val="0"/>
          <w:color w:val="000000" w:themeColor="text1"/>
          <w:sz w:val="32"/>
          <w:szCs w:val="32"/>
        </w:rPr>
        <w:t xml:space="preserve">  项目管理</w:t>
      </w:r>
    </w:p>
    <w:p>
      <w:pPr>
        <w:spacing w:line="360" w:lineRule="auto"/>
        <w:jc w:val="center"/>
        <w:outlineLvl w:val="1"/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第一节  项目申报</w:t>
      </w:r>
    </w:p>
    <w:p>
      <w:pPr>
        <w:tabs>
          <w:tab w:val="left" w:pos="2880"/>
        </w:tabs>
        <w:spacing w:line="360" w:lineRule="auto"/>
        <w:jc w:val="left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第五条</w:t>
      </w: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教务与科研部依据各级、各类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创新强校工程、教学科研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申报通知、招标指南及其它相关信息，在网站上发布项目申报通知，统一组织、集中受理各级、各类项目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申报。</w:t>
      </w:r>
    </w:p>
    <w:p>
      <w:pPr>
        <w:spacing w:line="360" w:lineRule="auto"/>
        <w:jc w:val="left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 第六条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申请人应按照有关项目申报文件的规定，填写申请书。项目申请人所在部门负责人应先对项目的技术内容、进度安排、经费构成、成果提交方式和知识产权归属等问题进行审查，审查合格集中报送教务与科研部。</w:t>
      </w:r>
    </w:p>
    <w:p>
      <w:pPr>
        <w:spacing w:line="360" w:lineRule="auto"/>
        <w:jc w:val="left"/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第七条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教务与科研部对各单位上报的项目申请书进行初审和汇总。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纵向项目及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校级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项目初审合格后，提交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学术委员会进行评审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横向项目由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项目负责人和委托单位达成协议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教务与科研部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备案后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实施。</w:t>
      </w:r>
    </w:p>
    <w:p>
      <w:pPr>
        <w:spacing w:line="360" w:lineRule="auto"/>
        <w:jc w:val="left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第八条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项目负责人应为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我校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正式编制人员。如外聘教师或外单位在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我校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的兼职人员作为项目的主持人申请项目，项目的申请单位和管理单位均应明确为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我校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。项目负责人应与所在单位签订协议，明确双方的权利和义务。</w:t>
      </w:r>
    </w:p>
    <w:p>
      <w:pPr>
        <w:spacing w:line="360" w:lineRule="auto"/>
        <w:jc w:val="left"/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  第九条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凡与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外单位联合申报的项目，合作单位双方应签订合作合同或合作协议，明确双方的权利和义务，约定有关研究成果的归属和分享办法。经教务与科研部审查同意并报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学术委员会批准后方可申报。</w:t>
      </w:r>
    </w:p>
    <w:p>
      <w:pPr>
        <w:spacing w:line="360" w:lineRule="auto"/>
        <w:jc w:val="center"/>
        <w:outlineLvl w:val="1"/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</w:pPr>
      <w:bookmarkStart w:id="4" w:name="_Toc6434"/>
      <w:bookmarkStart w:id="5" w:name="_Toc11275"/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第二节 项目立项</w:t>
      </w:r>
      <w:bookmarkEnd w:id="4"/>
      <w:bookmarkEnd w:id="5"/>
    </w:p>
    <w:p>
      <w:pPr>
        <w:snapToGrid w:val="0"/>
        <w:spacing w:line="360" w:lineRule="auto"/>
        <w:ind w:firstLine="640"/>
        <w:jc w:val="left"/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创新强校工程、教学科研项目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的立项采用项目合同形式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。按照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《中山大学南方学院项目合同管理办法》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进行管理。</w:t>
      </w:r>
    </w:p>
    <w:p>
      <w:pPr>
        <w:snapToGrid w:val="0"/>
        <w:spacing w:line="360" w:lineRule="auto"/>
        <w:ind w:firstLine="640"/>
        <w:jc w:val="left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一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项目获准立项通知下达后，教务与科研部应及时将项目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批准信息通知项目负责人和相关部门，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承担单位和项目负责人应在规定时间内，认真填写项目任务书（合同书、责任书）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项目任务书（合同书、责任书）草本送教务与科研部审定后，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校级项目由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教务与科研部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制作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项目任务书（合同书、责任书）正本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一式三份，一份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教务与科研部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存档，另外两份分别下发给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项目负责人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和所在单位；其他项目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由教务与科研部上报有关项目管理部门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项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目任务书（合同书、责任书）正本返回后，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一份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教务与科研部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存档，另外两份分别下发给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项目负责人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和所在单位。</w:t>
      </w:r>
    </w:p>
    <w:p>
      <w:pPr>
        <w:snapToGrid w:val="0"/>
        <w:spacing w:line="360" w:lineRule="auto"/>
        <w:ind w:firstLine="640"/>
        <w:jc w:val="left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二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正式立项的项目均需在教务与科研部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登记备案，并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按要求填写《中山大学南方学院项目登记表》，填报内容应与所签合同一致。项目负责人将填好的登记表、项目进度计划表和经费预算表一并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提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交教务与科研部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，由教务与科研部汇总项目立项登记信息，定期送达财务部。待款项到位后，项目负责人持项目任务书（合同书、责任书）复印件到财务部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办理经费使用手续。</w:t>
      </w:r>
    </w:p>
    <w:p>
      <w:pPr>
        <w:spacing w:line="360" w:lineRule="auto"/>
        <w:jc w:val="center"/>
        <w:outlineLvl w:val="1"/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</w:pPr>
      <w:bookmarkStart w:id="6" w:name="_Toc15058"/>
      <w:bookmarkStart w:id="7" w:name="_Toc22468"/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第三节  项目执行</w:t>
      </w:r>
      <w:bookmarkEnd w:id="6"/>
      <w:bookmarkEnd w:id="7"/>
    </w:p>
    <w:p>
      <w:pPr>
        <w:autoSpaceDN w:val="0"/>
        <w:spacing w:line="360" w:lineRule="auto"/>
        <w:jc w:val="left"/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三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创新强校工程、教学科研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项目实行项目负责人责任制。项目负责人要按照项目任务书（合同、协议）的要求，制定详细的研究进度计划和研究经费使用计划，报教务与科研部备案，并严格按计划组织实施。</w:t>
      </w:r>
    </w:p>
    <w:p>
      <w:pPr>
        <w:autoSpaceDN w:val="0"/>
        <w:spacing w:line="360" w:lineRule="auto"/>
        <w:ind w:firstLine="637"/>
        <w:jc w:val="left"/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四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项目负责人及项目组成员原则上不得代理或变更，如确因特殊情况（如出国、病休、工作调动等）需要发生变动的，项目负责人应及时以书面形式提出项目承担单位变更、项目负责人变更的申请或项目终止报告。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校级项目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经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批准同意，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其他项目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经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批准同意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并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报项目主管部门批准或与项目委托单位协商同意后，办理相关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变更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手续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。</w:t>
      </w:r>
    </w:p>
    <w:p>
      <w:pPr>
        <w:autoSpaceDN w:val="0"/>
        <w:spacing w:line="360" w:lineRule="auto"/>
        <w:ind w:firstLine="637"/>
        <w:jc w:val="left"/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五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项目研究过程中如因客观原因需变研究内容、进度、技术指标，应以书面形式提出申请，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校级项目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经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批准同意，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其他项目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经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批准同意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并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报请项目主管部门或有关项目委托单位同意后，该项目方能按调整后的计划实施。无故中止项目或因责任事故未完成项目合同的，应追究项目负责人及其他责任人的责任。被中止和撤销的项目，应根据项目主管部门的要求，交回部分乃至全部研究经费。</w:t>
      </w:r>
    </w:p>
    <w:p>
      <w:pPr>
        <w:spacing w:line="360" w:lineRule="auto"/>
        <w:jc w:val="center"/>
        <w:outlineLvl w:val="1"/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 xml:space="preserve"> </w:t>
      </w:r>
      <w:bookmarkStart w:id="8" w:name="_Toc13213"/>
      <w:bookmarkStart w:id="9" w:name="_Toc22418"/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第四节  项目监督与检查</w:t>
      </w:r>
      <w:bookmarkEnd w:id="8"/>
      <w:bookmarkEnd w:id="9"/>
    </w:p>
    <w:p>
      <w:pPr>
        <w:tabs>
          <w:tab w:val="left" w:pos="2880"/>
        </w:tabs>
        <w:spacing w:line="360" w:lineRule="auto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 第十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六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创新强校工程、教学科研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项目实行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学校——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院、系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（部）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两级监督管理。项目负责人所在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的单位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和教务与科研部对项目的进展情况进行监督和检查，财务部等职能部门，要按照各自的职责进行指导和监督检查。</w:t>
      </w:r>
    </w:p>
    <w:p>
      <w:pPr>
        <w:tabs>
          <w:tab w:val="left" w:pos="2880"/>
        </w:tabs>
        <w:spacing w:line="360" w:lineRule="auto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>七</w:t>
      </w: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项目实行中期检查制，项目负责人应在项目执行中期，按教务与科研部文件通知要求，认真如实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将项目完成进度及中期绩效报告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《中山大学南方学院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资金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项目中期检查报告书》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中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，经所在单位审核、盖章后提交教务与科研部。</w:t>
      </w:r>
    </w:p>
    <w:p>
      <w:pPr>
        <w:tabs>
          <w:tab w:val="left" w:pos="2880"/>
        </w:tabs>
        <w:spacing w:line="360" w:lineRule="auto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>八</w:t>
      </w: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教务与科研部根据项目立项任务书对项目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的进展情况及阶段成果进行检查。对进展情况良好的项目，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将继续给予经费支持；对进展缓慢的项目，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将减少经费支持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对没有进展的项目，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将收回并终止经费支持，并对项目负责人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予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以3年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内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不得申报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资金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项目的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限制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。</w:t>
      </w:r>
    </w:p>
    <w:p>
      <w:pPr>
        <w:spacing w:line="360" w:lineRule="auto"/>
        <w:jc w:val="center"/>
        <w:outlineLvl w:val="1"/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</w:pPr>
      <w:bookmarkStart w:id="10" w:name="_Toc27499"/>
      <w:bookmarkStart w:id="11" w:name="_Toc31510"/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第五节  项目结题</w:t>
      </w:r>
      <w:bookmarkEnd w:id="10"/>
      <w:bookmarkEnd w:id="11"/>
    </w:p>
    <w:p>
      <w:pPr>
        <w:spacing w:line="360" w:lineRule="auto"/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九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创新强校工程、教学科研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项目完成后，项目负责人应在两个月内按照项目任务书（合同、协议）约定的方式办理结题手续。项目结题可采取总结、验收及鉴定等方式。</w:t>
      </w:r>
    </w:p>
    <w:p>
      <w:pPr>
        <w:spacing w:line="360" w:lineRule="auto"/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 第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二十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在项目执行期不能按时完成的项目，应提交书面报告，说明原因及所需延长的研究时间，经项目主管部门或项目委托方同意后，方可延期结题。但同一项目只能延期一次，时间一般不能超过一年，否则，按未完成项目处理。</w:t>
      </w:r>
    </w:p>
    <w:p>
      <w:pPr>
        <w:spacing w:line="360" w:lineRule="auto"/>
        <w:ind w:firstLine="640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第二十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一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项目结题时要及时进行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经费的结算，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并向财务部提交绩效报告，财务部汇总后反馈教务与科研部。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没有进行经费结算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和提交绩效报告的项目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视为未结题。</w:t>
      </w:r>
    </w:p>
    <w:p>
      <w:pPr>
        <w:spacing w:line="360" w:lineRule="auto"/>
        <w:ind w:firstLine="640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32"/>
        </w:rPr>
        <w:t>第二十二条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 项目完成结题后，由教务与科研部将结题项目列表送达财务部。结题项目应在结题后半年内完成财务报销（横向项目除外）。横向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项目结题后，项目负责人应当继续做好合同约定的后续服务，并及时结清尾款。</w:t>
      </w:r>
    </w:p>
    <w:p>
      <w:pPr>
        <w:spacing w:line="360" w:lineRule="auto"/>
        <w:ind w:firstLine="640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第二十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三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项目结题后，项目组应将项目申请书、任务书（合同、协议）、项目研究阶段重要的原始材料，结题文件、成果鉴定书、专利及发明证书等所有有关文件资料按档案管理的有关规定归档，移交教务与科研部。</w:t>
      </w:r>
      <w:bookmarkStart w:id="12" w:name="_Toc27848"/>
    </w:p>
    <w:p>
      <w:pPr>
        <w:pStyle w:val="2"/>
        <w:spacing w:before="240" w:after="240" w:line="360" w:lineRule="auto"/>
        <w:jc w:val="center"/>
        <w:rPr>
          <w:rFonts w:hint="eastAsia" w:ascii="Times New Roman" w:hAnsi="Times New Roman" w:eastAsia="黑体" w:cs="黑体"/>
          <w:b w:val="0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color w:val="000000" w:themeColor="text1"/>
          <w:sz w:val="32"/>
          <w:szCs w:val="32"/>
        </w:rPr>
        <w:t>第三章  经费管理</w:t>
      </w:r>
    </w:p>
    <w:p>
      <w:pPr>
        <w:spacing w:line="360" w:lineRule="auto"/>
        <w:ind w:firstLine="640"/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>二十四</w:t>
      </w: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创新强校工程、教学科研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经费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使用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实行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项目负责人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制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。项目负责人作为项目经费使用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直接责任人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，按合同约定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具体制定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经费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使用计划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严格执行项目经费预算，对项目经费使用的真实性、有效性承担经济与法律责任，保证经费按计划合理适用。</w:t>
      </w:r>
    </w:p>
    <w:p>
      <w:pPr>
        <w:spacing w:line="360" w:lineRule="auto"/>
        <w:ind w:firstLine="64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第二十五条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 xml:space="preserve"> 纵向项目经费按照主管部门的相关管理规定下达。横向项目经费应按国家税收法律法规缴纳增值税及其附加。学校按横向项目经费的3%提取管理费后，按照项目合同下达项目经费。校级项目立项后，经费按合同约定下达到项目负责人所在项目账户。</w:t>
      </w:r>
    </w:p>
    <w:p>
      <w:pPr>
        <w:spacing w:line="360" w:lineRule="auto"/>
        <w:ind w:firstLine="640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第二十六条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项目经费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主要开支范围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包括：图书资料费、设备费、交通费、餐饮费、会议费、专家咨询费、劳务费等。项目预算中的餐饮费、劳务费各不得超过20%。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纵向项目经费按照主管部门的相关管理规定开支；横向项目经费按照项目合同约定开支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；纵向、横向项目经费无主管部门相关规定或项目合同约定的，参照本办法中的项目经费开支范围及其他规定执行。</w:t>
      </w:r>
    </w:p>
    <w:p>
      <w:pPr>
        <w:spacing w:line="360" w:lineRule="auto"/>
        <w:ind w:firstLine="640"/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32"/>
        </w:rPr>
        <w:t>第二十七条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 xml:space="preserve">  财务部、教务与科研部、监察与审计部对项目经费使用情况联合进行审计。</w:t>
      </w:r>
    </w:p>
    <w:p>
      <w:pPr>
        <w:pStyle w:val="2"/>
        <w:spacing w:before="240" w:after="240" w:line="360" w:lineRule="auto"/>
        <w:jc w:val="center"/>
        <w:rPr>
          <w:rFonts w:hint="eastAsia" w:ascii="Times New Roman" w:hAnsi="Times New Roman" w:eastAsia="黑体" w:cs="黑体"/>
          <w:b w:val="0"/>
          <w:color w:val="000000" w:themeColor="text1"/>
          <w:sz w:val="32"/>
          <w:szCs w:val="32"/>
        </w:rPr>
      </w:pPr>
      <w:bookmarkStart w:id="13" w:name="_Toc24964"/>
      <w:r>
        <w:rPr>
          <w:rFonts w:hint="eastAsia" w:ascii="Times New Roman" w:hAnsi="Times New Roman" w:eastAsia="黑体" w:cs="黑体"/>
          <w:b w:val="0"/>
          <w:color w:val="000000" w:themeColor="text1"/>
          <w:sz w:val="32"/>
          <w:szCs w:val="32"/>
        </w:rPr>
        <w:t>第四章  附则</w:t>
      </w:r>
      <w:bookmarkEnd w:id="12"/>
      <w:bookmarkEnd w:id="13"/>
    </w:p>
    <w:p>
      <w:pPr>
        <w:autoSpaceDN w:val="0"/>
        <w:spacing w:line="360" w:lineRule="auto"/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第二十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八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条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 本办法相关条款由教务与科研部和财务部负责解释。本办法未尽事宜由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学术委员会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、财经委员会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讨论决定。</w:t>
      </w:r>
    </w:p>
    <w:p>
      <w:pPr>
        <w:spacing w:line="360" w:lineRule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    第二十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>九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 xml:space="preserve"> 本办法自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学校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公布之日起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生效，2016年9月1日后立项建设的创新强校工程、教学科研项目资金均适用本办法进行管理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</w:rPr>
        <w:t>2016年9月1日前立项的创新强校工程、教学科研项目资金按照之前的项目经费管理办法执行。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D37"/>
    <w:rsid w:val="00023D09"/>
    <w:rsid w:val="00031A98"/>
    <w:rsid w:val="00050991"/>
    <w:rsid w:val="00076C2F"/>
    <w:rsid w:val="00091D4F"/>
    <w:rsid w:val="000A28ED"/>
    <w:rsid w:val="000C2B82"/>
    <w:rsid w:val="000F086A"/>
    <w:rsid w:val="00112675"/>
    <w:rsid w:val="0011429C"/>
    <w:rsid w:val="00134110"/>
    <w:rsid w:val="00141C70"/>
    <w:rsid w:val="00162F42"/>
    <w:rsid w:val="001923F4"/>
    <w:rsid w:val="001B0B53"/>
    <w:rsid w:val="001E3DCD"/>
    <w:rsid w:val="001F269E"/>
    <w:rsid w:val="001F6D11"/>
    <w:rsid w:val="0020140D"/>
    <w:rsid w:val="0024330E"/>
    <w:rsid w:val="00255AD3"/>
    <w:rsid w:val="00285F04"/>
    <w:rsid w:val="002A73D6"/>
    <w:rsid w:val="002E35D9"/>
    <w:rsid w:val="002E7643"/>
    <w:rsid w:val="003441E7"/>
    <w:rsid w:val="003537E7"/>
    <w:rsid w:val="00374DA0"/>
    <w:rsid w:val="003E5D8A"/>
    <w:rsid w:val="0045566F"/>
    <w:rsid w:val="00455AA4"/>
    <w:rsid w:val="004614E5"/>
    <w:rsid w:val="00474561"/>
    <w:rsid w:val="00485C97"/>
    <w:rsid w:val="004931BD"/>
    <w:rsid w:val="004B0C5E"/>
    <w:rsid w:val="004D5357"/>
    <w:rsid w:val="004E6CD3"/>
    <w:rsid w:val="00502EEC"/>
    <w:rsid w:val="00503E69"/>
    <w:rsid w:val="00510FC4"/>
    <w:rsid w:val="0053415B"/>
    <w:rsid w:val="005525DB"/>
    <w:rsid w:val="00570220"/>
    <w:rsid w:val="005715E1"/>
    <w:rsid w:val="00586C96"/>
    <w:rsid w:val="005917A4"/>
    <w:rsid w:val="005E1AE9"/>
    <w:rsid w:val="00604EA0"/>
    <w:rsid w:val="00610B23"/>
    <w:rsid w:val="006208CC"/>
    <w:rsid w:val="00641AC6"/>
    <w:rsid w:val="00641B96"/>
    <w:rsid w:val="00645B8F"/>
    <w:rsid w:val="006647FC"/>
    <w:rsid w:val="00670B19"/>
    <w:rsid w:val="00677B4A"/>
    <w:rsid w:val="00684ED5"/>
    <w:rsid w:val="006D1951"/>
    <w:rsid w:val="006D71C0"/>
    <w:rsid w:val="006E46FC"/>
    <w:rsid w:val="006F0A52"/>
    <w:rsid w:val="006F68C0"/>
    <w:rsid w:val="00723C1F"/>
    <w:rsid w:val="007358FD"/>
    <w:rsid w:val="00761D45"/>
    <w:rsid w:val="007C00AB"/>
    <w:rsid w:val="007C3869"/>
    <w:rsid w:val="007C51F9"/>
    <w:rsid w:val="007C51FD"/>
    <w:rsid w:val="00841EA9"/>
    <w:rsid w:val="008A48CA"/>
    <w:rsid w:val="008D24A5"/>
    <w:rsid w:val="008E01F9"/>
    <w:rsid w:val="008F1932"/>
    <w:rsid w:val="009452B1"/>
    <w:rsid w:val="0094596D"/>
    <w:rsid w:val="00946CD4"/>
    <w:rsid w:val="00961849"/>
    <w:rsid w:val="0098570C"/>
    <w:rsid w:val="00997197"/>
    <w:rsid w:val="009D793F"/>
    <w:rsid w:val="009E08FC"/>
    <w:rsid w:val="00A150D6"/>
    <w:rsid w:val="00A22A20"/>
    <w:rsid w:val="00A26217"/>
    <w:rsid w:val="00A666F4"/>
    <w:rsid w:val="00A84F9A"/>
    <w:rsid w:val="00AB0620"/>
    <w:rsid w:val="00AE67FA"/>
    <w:rsid w:val="00BE5FB5"/>
    <w:rsid w:val="00BF53B9"/>
    <w:rsid w:val="00BF6796"/>
    <w:rsid w:val="00C04262"/>
    <w:rsid w:val="00C46C74"/>
    <w:rsid w:val="00C50B80"/>
    <w:rsid w:val="00D0068A"/>
    <w:rsid w:val="00DA7475"/>
    <w:rsid w:val="00DB3D37"/>
    <w:rsid w:val="00DC65C8"/>
    <w:rsid w:val="00DD42FF"/>
    <w:rsid w:val="00DF20DC"/>
    <w:rsid w:val="00E11119"/>
    <w:rsid w:val="00E63243"/>
    <w:rsid w:val="00E70C95"/>
    <w:rsid w:val="00E92699"/>
    <w:rsid w:val="00ED7ED1"/>
    <w:rsid w:val="00EF4274"/>
    <w:rsid w:val="00F13A09"/>
    <w:rsid w:val="00F34444"/>
    <w:rsid w:val="00F9193A"/>
    <w:rsid w:val="00F92358"/>
    <w:rsid w:val="00FC43D9"/>
    <w:rsid w:val="00FD4429"/>
    <w:rsid w:val="00FE6A63"/>
    <w:rsid w:val="00FF7A48"/>
    <w:rsid w:val="634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2"/>
    <w:semiHidden/>
    <w:unhideWhenUsed/>
    <w:uiPriority w:val="99"/>
    <w:rPr>
      <w:b/>
      <w:bCs/>
    </w:rPr>
  </w:style>
  <w:style w:type="paragraph" w:styleId="4">
    <w:name w:val="annotation text"/>
    <w:basedOn w:val="1"/>
    <w:link w:val="11"/>
    <w:semiHidden/>
    <w:unhideWhenUsed/>
    <w:uiPriority w:val="99"/>
    <w:pPr>
      <w:jc w:val="left"/>
    </w:pPr>
  </w:style>
  <w:style w:type="paragraph" w:styleId="5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8"/>
    <w:link w:val="4"/>
    <w:semiHidden/>
    <w:qFormat/>
    <w:uiPriority w:val="99"/>
  </w:style>
  <w:style w:type="character" w:customStyle="1" w:styleId="12">
    <w:name w:val="批注主题 Char"/>
    <w:basedOn w:val="11"/>
    <w:link w:val="3"/>
    <w:semiHidden/>
    <w:uiPriority w:val="99"/>
    <w:rPr>
      <w:b/>
      <w:bCs/>
    </w:rPr>
  </w:style>
  <w:style w:type="character" w:customStyle="1" w:styleId="13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6"/>
    <w:uiPriority w:val="99"/>
    <w:rPr>
      <w:sz w:val="18"/>
      <w:szCs w:val="18"/>
    </w:rPr>
  </w:style>
  <w:style w:type="character" w:customStyle="1" w:styleId="16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7C4AB-51FA-49C8-A777-113E47F003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583</Words>
  <Characters>3327</Characters>
  <Lines>27</Lines>
  <Paragraphs>7</Paragraphs>
  <TotalTime>0</TotalTime>
  <ScaleCrop>false</ScaleCrop>
  <LinksUpToDate>false</LinksUpToDate>
  <CharactersWithSpaces>3903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2018-05-16T03:16:00Z</dcterms:created>
  <dc:creator>刘云东</dc:creator>
  <cp:lastModifiedBy>崔小璨</cp:lastModifiedBy>
  <cp:lastPrinted>2018-05-25T09:48:41Z</cp:lastPrinted>
  <dcterms:modified xsi:type="dcterms:W3CDTF">2018-05-25T09:58:15Z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